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5A" w:rsidRDefault="00BE5F5A" w:rsidP="00BE5F5A">
      <w:pPr>
        <w:contextualSpacing/>
        <w:rPr>
          <w:b/>
          <w:sz w:val="32"/>
          <w:szCs w:val="32"/>
        </w:rPr>
      </w:pPr>
      <w:r w:rsidRPr="00880EBB">
        <w:rPr>
          <w:b/>
          <w:sz w:val="32"/>
          <w:szCs w:val="32"/>
        </w:rPr>
        <w:t>Eligibility for image guided LP/myelography</w:t>
      </w:r>
    </w:p>
    <w:p w:rsidR="00BE5F5A" w:rsidRPr="00880EBB" w:rsidRDefault="00BE5F5A" w:rsidP="00BE5F5A">
      <w:pPr>
        <w:contextualSpacing/>
        <w:rPr>
          <w:b/>
          <w:sz w:val="32"/>
          <w:szCs w:val="32"/>
        </w:rPr>
      </w:pPr>
    </w:p>
    <w:p w:rsidR="00BE5F5A" w:rsidRPr="00DA53BF" w:rsidRDefault="00BE5F5A" w:rsidP="00BE5F5A">
      <w:pPr>
        <w:pStyle w:val="ListParagraph"/>
        <w:numPr>
          <w:ilvl w:val="0"/>
          <w:numId w:val="3"/>
        </w:numPr>
      </w:pPr>
      <w:r>
        <w:t>Radiology</w:t>
      </w:r>
      <w:r w:rsidRPr="00DA53BF">
        <w:t xml:space="preserve"> performs myelograms and lumbar punctures (</w:t>
      </w:r>
      <w:r w:rsidR="0007296B">
        <w:t>LP) requiring image guidance when indicated</w:t>
      </w:r>
      <w:r w:rsidRPr="00DA53BF">
        <w:t xml:space="preserve">. </w:t>
      </w:r>
    </w:p>
    <w:p w:rsidR="00BE5F5A" w:rsidRPr="00DA53BF" w:rsidRDefault="00BE5F5A" w:rsidP="00BE5F5A">
      <w:pPr>
        <w:pStyle w:val="ListParagraph"/>
        <w:numPr>
          <w:ilvl w:val="1"/>
          <w:numId w:val="3"/>
        </w:numPr>
      </w:pPr>
      <w:r w:rsidRPr="0007296B">
        <w:rPr>
          <w:b/>
        </w:rPr>
        <w:t>Please note</w:t>
      </w:r>
      <w:r w:rsidRPr="00DA53BF">
        <w:t xml:space="preserve"> that fluoroscopic guidance for LP adds ionizing radiation and substantial cost and cannot be justified by staffing concerns alone. </w:t>
      </w:r>
    </w:p>
    <w:p w:rsidR="00BE5F5A" w:rsidRDefault="00BE5F5A" w:rsidP="00BE5F5A">
      <w:pPr>
        <w:pStyle w:val="ListParagraph"/>
        <w:numPr>
          <w:ilvl w:val="1"/>
          <w:numId w:val="3"/>
        </w:numPr>
      </w:pPr>
      <w:r w:rsidRPr="00DA53BF">
        <w:t>An attempt at the bedside is expected before requesting fluoroscopic guidance</w:t>
      </w:r>
      <w:r w:rsidR="00404F03">
        <w:t>.</w:t>
      </w:r>
    </w:p>
    <w:p w:rsidR="00BE5F5A" w:rsidRPr="00DA53BF" w:rsidRDefault="00BE5F5A" w:rsidP="00BE5F5A">
      <w:pPr>
        <w:pStyle w:val="ListParagraph"/>
        <w:numPr>
          <w:ilvl w:val="2"/>
          <w:numId w:val="3"/>
        </w:numPr>
      </w:pPr>
      <w:r>
        <w:t>P</w:t>
      </w:r>
      <w:r w:rsidRPr="00DA53BF">
        <w:t xml:space="preserve">lease note that if there are issues with a bedside LP </w:t>
      </w:r>
      <w:r>
        <w:t>(</w:t>
      </w:r>
      <w:r w:rsidRPr="00DA53BF">
        <w:t xml:space="preserve">such as coagulopathy, immune compromise </w:t>
      </w:r>
      <w:r>
        <w:t>or an anxious/combative patient)</w:t>
      </w:r>
      <w:r w:rsidRPr="00DA53BF">
        <w:t xml:space="preserve"> these will be issues under fluoroscopy as well.</w:t>
      </w:r>
    </w:p>
    <w:p w:rsidR="00BE5F5A" w:rsidRDefault="00BE5F5A" w:rsidP="00103832">
      <w:pPr>
        <w:pStyle w:val="ListParagraph"/>
        <w:numPr>
          <w:ilvl w:val="1"/>
          <w:numId w:val="3"/>
        </w:numPr>
        <w:spacing w:after="200" w:line="276" w:lineRule="auto"/>
        <w:rPr>
          <w:b/>
          <w:sz w:val="32"/>
          <w:szCs w:val="32"/>
        </w:rPr>
      </w:pPr>
      <w:r w:rsidRPr="00DA53BF">
        <w:t>If there is a contraindication to a bedside attempt (i.e. severe scoliosis, extensive posterior fusion, unhealed surgical wound limiting level options</w:t>
      </w:r>
      <w:r w:rsidR="0007296B">
        <w:t>, morbid obesity</w:t>
      </w:r>
      <w:r w:rsidRPr="00DA53BF">
        <w:t xml:space="preserve">), please call the </w:t>
      </w:r>
      <w:r w:rsidR="00404F03">
        <w:t xml:space="preserve">radiologist </w:t>
      </w:r>
      <w:r w:rsidR="00103832">
        <w:t>to</w:t>
      </w:r>
      <w:r>
        <w:t xml:space="preserve"> discuss the case</w:t>
      </w:r>
      <w:r w:rsidRPr="00DA53BF">
        <w:t>.</w:t>
      </w:r>
      <w:r w:rsidR="00103832">
        <w:rPr>
          <w:b/>
          <w:sz w:val="32"/>
          <w:szCs w:val="32"/>
        </w:rPr>
        <w:t xml:space="preserve"> </w:t>
      </w:r>
    </w:p>
    <w:p w:rsidR="00103832" w:rsidRDefault="00103832" w:rsidP="00BE5F5A">
      <w:pPr>
        <w:contextualSpacing/>
        <w:rPr>
          <w:b/>
          <w:sz w:val="32"/>
          <w:szCs w:val="32"/>
        </w:rPr>
      </w:pPr>
    </w:p>
    <w:p w:rsidR="00BE5F5A" w:rsidRDefault="00BE5F5A" w:rsidP="00BE5F5A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Coordinating an</w:t>
      </w:r>
      <w:r w:rsidRPr="00880EBB">
        <w:rPr>
          <w:b/>
          <w:sz w:val="32"/>
          <w:szCs w:val="32"/>
        </w:rPr>
        <w:t xml:space="preserve"> LP/myelogram for an inpatient/ ER patient at </w:t>
      </w:r>
      <w:proofErr w:type="spellStart"/>
      <w:r w:rsidR="00404F03">
        <w:rPr>
          <w:b/>
          <w:sz w:val="32"/>
          <w:szCs w:val="32"/>
        </w:rPr>
        <w:t>Meriter</w:t>
      </w:r>
      <w:proofErr w:type="spellEnd"/>
    </w:p>
    <w:p w:rsidR="00404F03" w:rsidRPr="00880EBB" w:rsidRDefault="00404F03" w:rsidP="00BE5F5A">
      <w:pPr>
        <w:contextualSpacing/>
        <w:rPr>
          <w:b/>
          <w:sz w:val="32"/>
          <w:szCs w:val="32"/>
        </w:rPr>
      </w:pPr>
    </w:p>
    <w:p w:rsidR="00BE5F5A" w:rsidRPr="00DA53BF" w:rsidRDefault="00BE5F5A" w:rsidP="00BE5F5A">
      <w:pPr>
        <w:pStyle w:val="ListParagraph"/>
        <w:numPr>
          <w:ilvl w:val="0"/>
          <w:numId w:val="2"/>
        </w:numPr>
      </w:pPr>
      <w:r w:rsidRPr="00DA53BF">
        <w:t xml:space="preserve">Call the </w:t>
      </w:r>
      <w:r w:rsidR="00103832">
        <w:t>radiologist at the fluoroscopy seat during normal hours,</w:t>
      </w:r>
      <w:r w:rsidR="00103832">
        <w:t xml:space="preserve"> M-F</w:t>
      </w:r>
      <w:r w:rsidR="00103832">
        <w:t xml:space="preserve"> 7:30</w:t>
      </w:r>
      <w:r w:rsidR="00404F03">
        <w:t>a</w:t>
      </w:r>
      <w:r w:rsidR="00103832">
        <w:t>-4:30p at 417-5946</w:t>
      </w:r>
      <w:r w:rsidR="00103832" w:rsidRPr="00DA53BF">
        <w:t xml:space="preserve">.  After hours and on the weekend, </w:t>
      </w:r>
      <w:r w:rsidR="00103832">
        <w:t>call the radiology reading room (417-5945 or 417-7651) or page the on call diagnostic radiologist via the hospital operator</w:t>
      </w:r>
      <w:r w:rsidRPr="00DA53BF">
        <w:t>.</w:t>
      </w:r>
    </w:p>
    <w:p w:rsidR="00BE5F5A" w:rsidRDefault="00BE5F5A" w:rsidP="00BE5F5A">
      <w:pPr>
        <w:pStyle w:val="ListParagraph"/>
        <w:numPr>
          <w:ilvl w:val="0"/>
          <w:numId w:val="2"/>
        </w:numPr>
        <w:spacing w:after="200" w:line="276" w:lineRule="auto"/>
      </w:pPr>
      <w:r w:rsidRPr="00DA53BF">
        <w:t xml:space="preserve">State that you would like to order a lumbar puncture on an inpatient/ER patient.  </w:t>
      </w:r>
    </w:p>
    <w:p w:rsidR="00BE5F5A" w:rsidRPr="0007296B" w:rsidRDefault="00BE5F5A" w:rsidP="00BE5F5A">
      <w:pPr>
        <w:pStyle w:val="ListParagraph"/>
        <w:numPr>
          <w:ilvl w:val="1"/>
          <w:numId w:val="2"/>
        </w:numPr>
        <w:spacing w:after="200" w:line="276" w:lineRule="auto"/>
        <w:rPr>
          <w:b/>
        </w:rPr>
      </w:pPr>
      <w:r w:rsidRPr="0007296B">
        <w:rPr>
          <w:b/>
        </w:rPr>
        <w:t xml:space="preserve">Simply placing the order through EPIC without communicating directly with the </w:t>
      </w:r>
      <w:r w:rsidR="00404F03" w:rsidRPr="0007296B">
        <w:rPr>
          <w:b/>
        </w:rPr>
        <w:t>radiologist</w:t>
      </w:r>
      <w:r w:rsidRPr="0007296B">
        <w:rPr>
          <w:b/>
        </w:rPr>
        <w:t xml:space="preserve"> </w:t>
      </w:r>
      <w:r w:rsidR="0007296B" w:rsidRPr="0007296B">
        <w:rPr>
          <w:b/>
        </w:rPr>
        <w:t>will delay</w:t>
      </w:r>
      <w:r w:rsidRPr="0007296B">
        <w:rPr>
          <w:b/>
        </w:rPr>
        <w:t xml:space="preserve"> the procedure.   </w:t>
      </w:r>
    </w:p>
    <w:p w:rsidR="00BE5F5A" w:rsidRPr="00DA53BF" w:rsidRDefault="00BE5F5A" w:rsidP="00BE5F5A">
      <w:pPr>
        <w:pStyle w:val="ListParagraph"/>
        <w:numPr>
          <w:ilvl w:val="0"/>
          <w:numId w:val="2"/>
        </w:numPr>
        <w:spacing w:after="200" w:line="276" w:lineRule="auto"/>
      </w:pPr>
      <w:r w:rsidRPr="00DA53BF">
        <w:t>It is best to call first thing in the morning</w:t>
      </w:r>
      <w:r w:rsidR="0007296B">
        <w:t xml:space="preserve"> when resources and staffing are readily available</w:t>
      </w:r>
      <w:r w:rsidRPr="00DA53BF">
        <w:t xml:space="preserve">.   </w:t>
      </w:r>
    </w:p>
    <w:p w:rsidR="00BE5F5A" w:rsidRPr="00DA53BF" w:rsidRDefault="00BE5F5A" w:rsidP="00BE5F5A">
      <w:pPr>
        <w:pStyle w:val="ListParagraph"/>
        <w:numPr>
          <w:ilvl w:val="0"/>
          <w:numId w:val="2"/>
        </w:numPr>
        <w:spacing w:after="200" w:line="276" w:lineRule="auto"/>
      </w:pPr>
      <w:r w:rsidRPr="00DA53BF">
        <w:t xml:space="preserve">The </w:t>
      </w:r>
      <w:r w:rsidR="00404F03">
        <w:t>radiologist</w:t>
      </w:r>
      <w:r w:rsidRPr="00DA53BF">
        <w:t xml:space="preserve"> will ask the following questions:  </w:t>
      </w:r>
    </w:p>
    <w:p w:rsidR="00BE5F5A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>What is the indication/reason for the LP?</w:t>
      </w:r>
    </w:p>
    <w:p w:rsidR="0007296B" w:rsidRPr="00DA53BF" w:rsidRDefault="0007296B" w:rsidP="00BE5F5A">
      <w:pPr>
        <w:pStyle w:val="ListParagraph"/>
        <w:numPr>
          <w:ilvl w:val="1"/>
          <w:numId w:val="2"/>
        </w:numPr>
        <w:spacing w:after="200" w:line="276" w:lineRule="auto"/>
      </w:pPr>
      <w:r>
        <w:t>Has the patient had a head CT/MR? (if indicated- see attached)</w:t>
      </w:r>
    </w:p>
    <w:p w:rsidR="00BE5F5A" w:rsidRPr="00DA53BF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>Has someone on the floor/ER attempted to perform the LP?</w:t>
      </w:r>
    </w:p>
    <w:p w:rsidR="00BE5F5A" w:rsidRPr="00DA53BF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 xml:space="preserve">Is the patient </w:t>
      </w:r>
      <w:r w:rsidR="0007296B">
        <w:t>able to provide consent</w:t>
      </w:r>
      <w:r w:rsidRPr="00DA53BF">
        <w:t>?  If not, who is the power of attorney and what is their contact information?</w:t>
      </w:r>
    </w:p>
    <w:p w:rsidR="00BE5F5A" w:rsidRPr="00DA53BF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>What is the INR, PTT and PLT count?  We require labs on all inpa</w:t>
      </w:r>
      <w:r w:rsidR="00DD7206">
        <w:t xml:space="preserve">tients/ER patients. </w:t>
      </w:r>
      <w:r w:rsidRPr="00DA53BF">
        <w:t>Please refer to lab/medication guidelines for cutoff values</w:t>
      </w:r>
      <w:r w:rsidR="00DD7206">
        <w:t xml:space="preserve"> (attached)</w:t>
      </w:r>
      <w:r w:rsidRPr="00DA53BF">
        <w:t xml:space="preserve">. </w:t>
      </w:r>
    </w:p>
    <w:p w:rsidR="00BE5F5A" w:rsidRPr="00DA53BF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 xml:space="preserve">Are there any potential issues that the radiologist should know prior to performing the LP? For example, </w:t>
      </w:r>
      <w:r w:rsidR="0007296B">
        <w:t xml:space="preserve">does the </w:t>
      </w:r>
      <w:r w:rsidRPr="00DA53BF">
        <w:t xml:space="preserve">LP need to be performed </w:t>
      </w:r>
      <w:r w:rsidR="003B60EF">
        <w:t>with</w:t>
      </w:r>
      <w:r w:rsidRPr="00DA53BF">
        <w:t xml:space="preserve"> conscious sedation or</w:t>
      </w:r>
      <w:r w:rsidR="0007296B">
        <w:t xml:space="preserve"> </w:t>
      </w:r>
      <w:r w:rsidR="003B60EF">
        <w:t>under</w:t>
      </w:r>
      <w:r w:rsidRPr="00DA53BF">
        <w:t xml:space="preserve"> general anesthesia</w:t>
      </w:r>
      <w:r w:rsidR="0007296B">
        <w:t>? If so, expect to coordinate with anesthesia as well.</w:t>
      </w:r>
    </w:p>
    <w:p w:rsidR="00BE5F5A" w:rsidRPr="00DA53BF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 xml:space="preserve">Are there any special requests? For example, measure pressures, large volume tap etc. </w:t>
      </w:r>
    </w:p>
    <w:p w:rsidR="00BE5F5A" w:rsidRPr="00DA53BF" w:rsidRDefault="00BE5F5A" w:rsidP="00BE5F5A">
      <w:pPr>
        <w:pStyle w:val="ListParagraph"/>
        <w:numPr>
          <w:ilvl w:val="0"/>
          <w:numId w:val="2"/>
        </w:numPr>
        <w:spacing w:after="200" w:line="276" w:lineRule="auto"/>
      </w:pPr>
      <w:r w:rsidRPr="00DA53BF">
        <w:t>Place the order for the LP through Epic/</w:t>
      </w:r>
      <w:proofErr w:type="spellStart"/>
      <w:r w:rsidRPr="00DA53BF">
        <w:t>Healthlink</w:t>
      </w:r>
      <w:proofErr w:type="spellEnd"/>
      <w:r w:rsidRPr="00DA53BF">
        <w:t>.</w:t>
      </w:r>
    </w:p>
    <w:p w:rsidR="00BE5F5A" w:rsidRDefault="00BE5F5A" w:rsidP="00BE5F5A">
      <w:pPr>
        <w:pStyle w:val="ListParagraph"/>
        <w:numPr>
          <w:ilvl w:val="0"/>
          <w:numId w:val="2"/>
        </w:numPr>
        <w:spacing w:after="200" w:line="276" w:lineRule="auto"/>
      </w:pPr>
      <w:r w:rsidRPr="00DA53BF">
        <w:t>Make sure to also place lab orde</w:t>
      </w:r>
      <w:r>
        <w:t>rs for the CSF fluid analysis</w:t>
      </w:r>
      <w:r w:rsidR="00D536E2">
        <w:t xml:space="preserve"> if needed</w:t>
      </w:r>
      <w:r>
        <w:t xml:space="preserve">. </w:t>
      </w:r>
    </w:p>
    <w:p w:rsidR="00BE5F5A" w:rsidRPr="00DA53BF" w:rsidRDefault="00BE5F5A" w:rsidP="00BE5F5A">
      <w:pPr>
        <w:pStyle w:val="ListParagraph"/>
        <w:numPr>
          <w:ilvl w:val="1"/>
          <w:numId w:val="2"/>
        </w:numPr>
        <w:spacing w:after="200" w:line="276" w:lineRule="auto"/>
      </w:pPr>
      <w:r w:rsidRPr="00DA53BF">
        <w:t xml:space="preserve">The </w:t>
      </w:r>
      <w:r w:rsidR="00404F03">
        <w:t>Radiology</w:t>
      </w:r>
      <w:r w:rsidRPr="00DA53BF">
        <w:t xml:space="preserve"> department </w:t>
      </w:r>
      <w:r w:rsidR="00404F03">
        <w:t>WILL NOT</w:t>
      </w:r>
      <w:r>
        <w:t xml:space="preserve"> place orders for CSF analysis.</w:t>
      </w:r>
    </w:p>
    <w:p w:rsidR="00BE5F5A" w:rsidRPr="00DA53BF" w:rsidRDefault="00BE5F5A" w:rsidP="00BE5F5A">
      <w:pPr>
        <w:pStyle w:val="ListParagraph"/>
        <w:numPr>
          <w:ilvl w:val="0"/>
          <w:numId w:val="2"/>
        </w:numPr>
        <w:spacing w:line="276" w:lineRule="auto"/>
      </w:pPr>
      <w:r w:rsidRPr="00DA53BF">
        <w:t xml:space="preserve">Once the lumbar puncture is complete, the patient will be transferred back to the floor/ER.  The patient should lay flat for at least 1 hour.  </w:t>
      </w:r>
    </w:p>
    <w:p w:rsidR="00BE5F5A" w:rsidRDefault="00BE5F5A" w:rsidP="00BE5F5A">
      <w:pPr>
        <w:spacing w:after="200" w:line="276" w:lineRule="auto"/>
        <w:contextualSpacing/>
      </w:pPr>
    </w:p>
    <w:p w:rsidR="00BE5F5A" w:rsidRDefault="00BE5F5A" w:rsidP="00BE5F5A">
      <w:pPr>
        <w:contextualSpacing/>
      </w:pPr>
    </w:p>
    <w:p w:rsidR="00BE5F5A" w:rsidRDefault="00BE5F5A" w:rsidP="00BE5F5A">
      <w:pPr>
        <w:contextualSpacing/>
        <w:rPr>
          <w:b/>
          <w:sz w:val="32"/>
          <w:szCs w:val="32"/>
        </w:rPr>
      </w:pPr>
    </w:p>
    <w:p w:rsidR="00BE5F5A" w:rsidRPr="004351D5" w:rsidRDefault="00BE5F5A" w:rsidP="00BE5F5A">
      <w:pPr>
        <w:contextualSpacing/>
        <w:rPr>
          <w:b/>
          <w:sz w:val="32"/>
          <w:szCs w:val="32"/>
        </w:rPr>
      </w:pPr>
      <w:r w:rsidRPr="004351D5">
        <w:rPr>
          <w:b/>
          <w:sz w:val="32"/>
          <w:szCs w:val="32"/>
        </w:rPr>
        <w:t>How to handle post-procedure headaches?</w:t>
      </w:r>
    </w:p>
    <w:p w:rsidR="00BE5F5A" w:rsidRPr="00955C14" w:rsidRDefault="00BE5F5A" w:rsidP="00BE5F5A">
      <w:pPr>
        <w:numPr>
          <w:ilvl w:val="0"/>
          <w:numId w:val="6"/>
        </w:numPr>
        <w:contextualSpacing/>
      </w:pPr>
      <w:r w:rsidRPr="00955C14">
        <w:t>Conservative measures include:</w:t>
      </w:r>
    </w:p>
    <w:p w:rsidR="00BE5F5A" w:rsidRPr="00955C14" w:rsidRDefault="00BE5F5A" w:rsidP="00BE5F5A">
      <w:pPr>
        <w:numPr>
          <w:ilvl w:val="1"/>
          <w:numId w:val="6"/>
        </w:numPr>
        <w:contextualSpacing/>
      </w:pPr>
      <w:r w:rsidRPr="00955C14">
        <w:t>Recommendations for bed rest:</w:t>
      </w:r>
    </w:p>
    <w:p w:rsidR="00BE5F5A" w:rsidRPr="00955C14" w:rsidRDefault="00BE5F5A" w:rsidP="00BE5F5A">
      <w:pPr>
        <w:numPr>
          <w:ilvl w:val="2"/>
          <w:numId w:val="6"/>
        </w:numPr>
        <w:contextualSpacing/>
      </w:pPr>
      <w:r w:rsidRPr="00955C14">
        <w:t xml:space="preserve">For the first 12 hours after </w:t>
      </w:r>
      <w:r>
        <w:t xml:space="preserve">the </w:t>
      </w:r>
      <w:r w:rsidRPr="00955C14">
        <w:t xml:space="preserve">LP, </w:t>
      </w:r>
      <w:r>
        <w:t>lie</w:t>
      </w:r>
      <w:r w:rsidRPr="00955C14">
        <w:t xml:space="preserve"> flat, NO lifting, NO straining</w:t>
      </w:r>
    </w:p>
    <w:p w:rsidR="00BE5F5A" w:rsidRPr="00955C14" w:rsidRDefault="00BE5F5A" w:rsidP="00BE5F5A">
      <w:pPr>
        <w:numPr>
          <w:ilvl w:val="2"/>
          <w:numId w:val="6"/>
        </w:numPr>
        <w:contextualSpacing/>
      </w:pPr>
      <w:r w:rsidRPr="00955C14">
        <w:t>If patient gets a headache afte</w:t>
      </w:r>
      <w:r>
        <w:t>r getting up, recommend again l</w:t>
      </w:r>
      <w:r w:rsidRPr="00955C14">
        <w:t>ying flat for an additional 12 hours</w:t>
      </w:r>
    </w:p>
    <w:p w:rsidR="00BE5F5A" w:rsidRPr="00955C14" w:rsidRDefault="00BE5F5A" w:rsidP="00BE5F5A">
      <w:pPr>
        <w:numPr>
          <w:ilvl w:val="2"/>
          <w:numId w:val="6"/>
        </w:numPr>
        <w:contextualSpacing/>
      </w:pPr>
      <w:r w:rsidRPr="00955C14">
        <w:t>If headaches do not i</w:t>
      </w:r>
      <w:r>
        <w:t xml:space="preserve">mprove after lying flat </w:t>
      </w:r>
      <w:r w:rsidRPr="00955C14">
        <w:t>this may indicate a more serious complication</w:t>
      </w:r>
      <w:r>
        <w:t xml:space="preserve"> </w:t>
      </w:r>
      <w:r w:rsidRPr="00955C14">
        <w:t xml:space="preserve">and the patient </w:t>
      </w:r>
      <w:r>
        <w:t xml:space="preserve">should be </w:t>
      </w:r>
      <w:r w:rsidRPr="00955C14">
        <w:t xml:space="preserve">evaluated by </w:t>
      </w:r>
      <w:r>
        <w:t>the ordering physician</w:t>
      </w:r>
    </w:p>
    <w:p w:rsidR="00BE5F5A" w:rsidRDefault="00BE5F5A" w:rsidP="00BE5F5A">
      <w:pPr>
        <w:numPr>
          <w:ilvl w:val="1"/>
          <w:numId w:val="6"/>
        </w:numPr>
        <w:contextualSpacing/>
      </w:pPr>
      <w:r>
        <w:t>Instructions for hydration: Recommend hydration.  C</w:t>
      </w:r>
      <w:r w:rsidRPr="00955C14">
        <w:t xml:space="preserve">affeine may be helpful. </w:t>
      </w:r>
    </w:p>
    <w:p w:rsidR="00BE5F5A" w:rsidRDefault="00BE5F5A" w:rsidP="00BE5F5A">
      <w:pPr>
        <w:numPr>
          <w:ilvl w:val="1"/>
          <w:numId w:val="6"/>
        </w:numPr>
        <w:contextualSpacing/>
      </w:pPr>
      <w:r>
        <w:t xml:space="preserve">Pain management: If headaches persist despite conservative measures, pain medication such as Tramadol may be indicated.  Prescriptions for this type of medication should be coordinated through the </w:t>
      </w:r>
      <w:r w:rsidR="00404F03">
        <w:t>hospitalist or clinician</w:t>
      </w:r>
      <w:r>
        <w:t xml:space="preserve"> who ordered the procedure.</w:t>
      </w:r>
      <w:r w:rsidR="00D536E2">
        <w:t xml:space="preserve"> P</w:t>
      </w:r>
      <w:r w:rsidR="00404F03">
        <w:t>lease</w:t>
      </w:r>
      <w:r w:rsidRPr="00AB5044">
        <w:t xml:space="preserve"> note, the </w:t>
      </w:r>
      <w:r w:rsidR="00404F03">
        <w:t>radiology staff will not prescribe medications.</w:t>
      </w:r>
    </w:p>
    <w:p w:rsidR="00BE5F5A" w:rsidRDefault="00BE5F5A" w:rsidP="00BE5F5A">
      <w:pPr>
        <w:spacing w:after="200" w:line="276" w:lineRule="auto"/>
        <w:contextualSpacing/>
        <w:rPr>
          <w:b/>
          <w:sz w:val="32"/>
          <w:szCs w:val="32"/>
        </w:rPr>
      </w:pPr>
    </w:p>
    <w:p w:rsidR="00BE5F5A" w:rsidRPr="004351D5" w:rsidRDefault="00BE5F5A" w:rsidP="00BE5F5A">
      <w:pPr>
        <w:spacing w:after="20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Ho</w:t>
      </w:r>
      <w:r w:rsidRPr="004351D5">
        <w:rPr>
          <w:b/>
          <w:sz w:val="32"/>
          <w:szCs w:val="32"/>
        </w:rPr>
        <w:t>w to coordinate a blood patch?</w:t>
      </w:r>
    </w:p>
    <w:p w:rsidR="00BE5F5A" w:rsidRDefault="00BE5F5A" w:rsidP="00BE5F5A">
      <w:pPr>
        <w:numPr>
          <w:ilvl w:val="0"/>
          <w:numId w:val="9"/>
        </w:numPr>
        <w:contextualSpacing/>
      </w:pPr>
      <w:r w:rsidRPr="00955C14">
        <w:t>A blood patch may be indicated for patients who have persistent unrelenting headaches after conservative measures have been attempted</w:t>
      </w:r>
    </w:p>
    <w:p w:rsidR="00BE5F5A" w:rsidRDefault="00BE5F5A" w:rsidP="00404F03">
      <w:pPr>
        <w:pStyle w:val="ListParagraph"/>
        <w:numPr>
          <w:ilvl w:val="0"/>
          <w:numId w:val="9"/>
        </w:numPr>
      </w:pPr>
      <w:r w:rsidRPr="00955C14">
        <w:t xml:space="preserve">Blood patches are performed by </w:t>
      </w:r>
      <w:r w:rsidRPr="0007296B">
        <w:t>the anesthesiology department</w:t>
      </w:r>
      <w:r w:rsidR="00404F03">
        <w:t>.  Page the anesthesiologist</w:t>
      </w:r>
      <w:r w:rsidR="0007296B">
        <w:t xml:space="preserve"> </w:t>
      </w:r>
      <w:r w:rsidR="00404F03">
        <w:t>via the hospital operator to arrange.</w:t>
      </w:r>
    </w:p>
    <w:p w:rsidR="00404F03" w:rsidRPr="00404F03" w:rsidRDefault="00404F03" w:rsidP="00404F03">
      <w:pPr>
        <w:pStyle w:val="ListParagraph"/>
      </w:pPr>
    </w:p>
    <w:p w:rsidR="00404F03" w:rsidRDefault="00404F03" w:rsidP="00BE5F5A">
      <w:pPr>
        <w:contextualSpacing/>
        <w:rPr>
          <w:b/>
          <w:sz w:val="32"/>
          <w:szCs w:val="32"/>
        </w:rPr>
      </w:pPr>
    </w:p>
    <w:p w:rsidR="00404F03" w:rsidRDefault="00404F03" w:rsidP="00BE5F5A">
      <w:pPr>
        <w:contextualSpacing/>
        <w:rPr>
          <w:b/>
          <w:sz w:val="32"/>
          <w:szCs w:val="32"/>
        </w:rPr>
      </w:pPr>
    </w:p>
    <w:p w:rsidR="00BE5F5A" w:rsidRPr="006A35D5" w:rsidRDefault="00BE5F5A" w:rsidP="00BE5F5A">
      <w:pPr>
        <w:contextualSpacing/>
        <w:rPr>
          <w:b/>
          <w:sz w:val="32"/>
          <w:szCs w:val="32"/>
        </w:rPr>
      </w:pPr>
      <w:r w:rsidRPr="006A35D5">
        <w:rPr>
          <w:b/>
          <w:sz w:val="32"/>
          <w:szCs w:val="32"/>
        </w:rPr>
        <w:t>References</w:t>
      </w:r>
      <w:r>
        <w:rPr>
          <w:b/>
          <w:sz w:val="32"/>
          <w:szCs w:val="32"/>
        </w:rPr>
        <w:t xml:space="preserve"> for l</w:t>
      </w:r>
      <w:r w:rsidRPr="006A35D5">
        <w:rPr>
          <w:b/>
          <w:sz w:val="32"/>
          <w:szCs w:val="32"/>
        </w:rPr>
        <w:t>ab guidelines</w:t>
      </w:r>
      <w:r>
        <w:rPr>
          <w:b/>
          <w:sz w:val="32"/>
          <w:szCs w:val="32"/>
        </w:rPr>
        <w:t xml:space="preserve"> and </w:t>
      </w:r>
      <w:r w:rsidRPr="006A35D5">
        <w:rPr>
          <w:b/>
          <w:sz w:val="32"/>
          <w:szCs w:val="32"/>
        </w:rPr>
        <w:t>additional reading:</w:t>
      </w:r>
    </w:p>
    <w:p w:rsidR="00BE5F5A" w:rsidRPr="002C0A89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0A89">
        <w:rPr>
          <w:sz w:val="20"/>
          <w:szCs w:val="20"/>
        </w:rPr>
        <w:t xml:space="preserve">Roos KL.  </w:t>
      </w:r>
      <w:r w:rsidRPr="004C012D">
        <w:rPr>
          <w:sz w:val="20"/>
          <w:szCs w:val="20"/>
        </w:rPr>
        <w:t>Lumbar Puncture.</w:t>
      </w:r>
      <w:r w:rsidRPr="002C0A89">
        <w:rPr>
          <w:sz w:val="20"/>
          <w:szCs w:val="20"/>
        </w:rPr>
        <w:t xml:space="preserve"> </w:t>
      </w:r>
      <w:proofErr w:type="spellStart"/>
      <w:r w:rsidRPr="002C0A89">
        <w:rPr>
          <w:sz w:val="20"/>
          <w:szCs w:val="20"/>
        </w:rPr>
        <w:t>Semin</w:t>
      </w:r>
      <w:proofErr w:type="spellEnd"/>
      <w:r w:rsidRPr="002C0A89">
        <w:rPr>
          <w:sz w:val="20"/>
          <w:szCs w:val="20"/>
        </w:rPr>
        <w:t xml:space="preserve"> Neurology, 2003 March; (23) 1:105-114</w:t>
      </w:r>
    </w:p>
    <w:p w:rsidR="00BE5F5A" w:rsidRPr="002C0A89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0A89">
        <w:rPr>
          <w:sz w:val="20"/>
          <w:szCs w:val="20"/>
        </w:rPr>
        <w:t>ACR-ASNR practice guidelines on Myelography, 2008</w:t>
      </w:r>
      <w:r>
        <w:rPr>
          <w:sz w:val="20"/>
          <w:szCs w:val="20"/>
        </w:rPr>
        <w:t>.</w:t>
      </w:r>
    </w:p>
    <w:p w:rsidR="00BE5F5A" w:rsidRPr="002C0A89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0A89">
        <w:rPr>
          <w:rFonts w:eastAsia="Calibri"/>
          <w:sz w:val="20"/>
          <w:szCs w:val="20"/>
        </w:rPr>
        <w:t xml:space="preserve">Layton KF, </w:t>
      </w:r>
      <w:proofErr w:type="spellStart"/>
      <w:r w:rsidRPr="002C0A89">
        <w:rPr>
          <w:rFonts w:eastAsia="Calibri"/>
          <w:sz w:val="20"/>
          <w:szCs w:val="20"/>
        </w:rPr>
        <w:t>Kallmes</w:t>
      </w:r>
      <w:proofErr w:type="spellEnd"/>
      <w:r w:rsidRPr="002C0A89">
        <w:rPr>
          <w:rFonts w:eastAsia="Calibri"/>
          <w:sz w:val="20"/>
          <w:szCs w:val="20"/>
        </w:rPr>
        <w:t xml:space="preserve"> DF, MD, and </w:t>
      </w:r>
      <w:proofErr w:type="spellStart"/>
      <w:r w:rsidRPr="002C0A89">
        <w:rPr>
          <w:rFonts w:eastAsia="Calibri"/>
          <w:sz w:val="20"/>
          <w:szCs w:val="20"/>
        </w:rPr>
        <w:t>Horlocker</w:t>
      </w:r>
      <w:proofErr w:type="spellEnd"/>
      <w:r w:rsidRPr="002C0A89">
        <w:rPr>
          <w:rFonts w:eastAsia="Calibri"/>
          <w:sz w:val="20"/>
          <w:szCs w:val="20"/>
        </w:rPr>
        <w:t xml:space="preserve"> TT. </w:t>
      </w:r>
      <w:r w:rsidRPr="004C012D">
        <w:rPr>
          <w:rFonts w:eastAsia="Calibri"/>
          <w:bCs/>
          <w:sz w:val="20"/>
          <w:szCs w:val="20"/>
        </w:rPr>
        <w:t>Recommendations for Anticoagulated Patients Undergoing Image-Guided Spinal Procedures.</w:t>
      </w:r>
      <w:r w:rsidRPr="002C0A89"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AJNR</w:t>
      </w:r>
      <w:r w:rsidRPr="002C0A89">
        <w:rPr>
          <w:rFonts w:eastAsia="Calibri"/>
          <w:sz w:val="20"/>
          <w:szCs w:val="20"/>
        </w:rPr>
        <w:t xml:space="preserve"> Mar 2006</w:t>
      </w:r>
      <w:r>
        <w:rPr>
          <w:rFonts w:eastAsia="Calibri"/>
          <w:sz w:val="20"/>
          <w:szCs w:val="20"/>
        </w:rPr>
        <w:t xml:space="preserve"> 27:467–71.</w:t>
      </w:r>
    </w:p>
    <w:p w:rsidR="00BE5F5A" w:rsidRPr="002C0A89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From Neuroradiology Requisites. Third edition, 2010.  Page 19.  </w:t>
      </w:r>
    </w:p>
    <w:p w:rsidR="00BE5F5A" w:rsidRPr="004C012D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0A89">
        <w:rPr>
          <w:rFonts w:eastAsia="Calibri"/>
          <w:sz w:val="20"/>
          <w:szCs w:val="20"/>
        </w:rPr>
        <w:t>American College of Physicians: Practice Guidelines Lumbar Puncture.  Physician Information and Education Resource</w:t>
      </w:r>
      <w:r>
        <w:rPr>
          <w:rFonts w:eastAsia="Calibri"/>
          <w:sz w:val="20"/>
          <w:szCs w:val="20"/>
        </w:rPr>
        <w:t>. 2010.</w:t>
      </w:r>
    </w:p>
    <w:p w:rsidR="00BE5F5A" w:rsidRPr="002C0A89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0A89">
        <w:rPr>
          <w:rFonts w:ascii="Univers57Condensed,Italic" w:eastAsia="Calibri" w:hAnsi="Univers57Condensed,Italic" w:cs="Univers57Condensed,Italic"/>
          <w:iCs/>
          <w:sz w:val="20"/>
          <w:szCs w:val="20"/>
        </w:rPr>
        <w:t xml:space="preserve">Sandow BA and </w:t>
      </w:r>
      <w:proofErr w:type="spellStart"/>
      <w:r w:rsidRPr="002C0A89">
        <w:rPr>
          <w:rFonts w:ascii="Univers57Condensed,Italic" w:eastAsia="Calibri" w:hAnsi="Univers57Condensed,Italic" w:cs="Univers57Condensed,Italic"/>
          <w:iCs/>
          <w:sz w:val="20"/>
          <w:szCs w:val="20"/>
        </w:rPr>
        <w:t>Donnal</w:t>
      </w:r>
      <w:proofErr w:type="spellEnd"/>
      <w:r w:rsidRPr="002C0A89">
        <w:rPr>
          <w:rFonts w:ascii="Univers57Condensed,Italic" w:eastAsia="Calibri" w:hAnsi="Univers57Condensed,Italic" w:cs="Univers57Condensed,Italic"/>
          <w:iCs/>
          <w:sz w:val="20"/>
          <w:szCs w:val="20"/>
        </w:rPr>
        <w:t xml:space="preserve"> JF. </w:t>
      </w:r>
      <w:r w:rsidRPr="004C012D">
        <w:rPr>
          <w:rFonts w:ascii="Univers57Condensed,Italic" w:eastAsia="Calibri" w:hAnsi="Univers57Condensed,Italic" w:cs="Univers57Condensed,Italic"/>
          <w:iCs/>
          <w:sz w:val="20"/>
          <w:szCs w:val="20"/>
        </w:rPr>
        <w:t>Myelography Complications and Current Practice Patterns</w:t>
      </w:r>
      <w:r w:rsidRPr="002C0A89">
        <w:rPr>
          <w:rFonts w:ascii="Univers57Condensed,Italic" w:eastAsia="Calibri" w:hAnsi="Univers57Condensed,Italic" w:cs="Univers57Condensed,Italic"/>
          <w:iCs/>
          <w:sz w:val="20"/>
          <w:szCs w:val="20"/>
        </w:rPr>
        <w:t xml:space="preserve">. AJR </w:t>
      </w:r>
      <w:r w:rsidRPr="002C0A89">
        <w:rPr>
          <w:rFonts w:ascii="Univers57Condensed" w:eastAsia="Calibri" w:hAnsi="Univers57Condensed" w:cs="Univers57Condensed"/>
          <w:sz w:val="20"/>
          <w:szCs w:val="20"/>
        </w:rPr>
        <w:t>2005; 185:768–771.</w:t>
      </w:r>
    </w:p>
    <w:p w:rsidR="00A17208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248A">
        <w:rPr>
          <w:sz w:val="20"/>
          <w:szCs w:val="20"/>
        </w:rPr>
        <w:t>Healthcare provider information for Pradaxa (dabigatran etexilate); University of Utah Health Care System.</w:t>
      </w:r>
    </w:p>
    <w:p w:rsidR="001C26AD" w:rsidRPr="00A17208" w:rsidRDefault="00BE5F5A" w:rsidP="00BE5F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7208">
        <w:rPr>
          <w:sz w:val="20"/>
          <w:szCs w:val="20"/>
        </w:rPr>
        <w:t xml:space="preserve">Healthcare provider information </w:t>
      </w:r>
      <w:r w:rsidR="00FC2269" w:rsidRPr="00A17208">
        <w:rPr>
          <w:sz w:val="20"/>
          <w:szCs w:val="20"/>
        </w:rPr>
        <w:t xml:space="preserve">for </w:t>
      </w:r>
      <w:proofErr w:type="spellStart"/>
      <w:r w:rsidR="00FC2269" w:rsidRPr="00A17208">
        <w:rPr>
          <w:sz w:val="20"/>
          <w:szCs w:val="20"/>
        </w:rPr>
        <w:t>Apizaban</w:t>
      </w:r>
      <w:proofErr w:type="spellEnd"/>
      <w:r w:rsidR="00FC2269" w:rsidRPr="00A17208">
        <w:rPr>
          <w:sz w:val="20"/>
          <w:szCs w:val="20"/>
        </w:rPr>
        <w:t xml:space="preserve"> (Eliquis): </w:t>
      </w:r>
      <w:proofErr w:type="spellStart"/>
      <w:r w:rsidR="00FC2269" w:rsidRPr="00A17208">
        <w:rPr>
          <w:sz w:val="20"/>
          <w:szCs w:val="20"/>
        </w:rPr>
        <w:t>Meriter</w:t>
      </w:r>
      <w:proofErr w:type="spellEnd"/>
      <w:r w:rsidR="00FC2269" w:rsidRPr="00A17208">
        <w:rPr>
          <w:sz w:val="20"/>
          <w:szCs w:val="20"/>
        </w:rPr>
        <w:t xml:space="preserve"> Antithrombotic Service, May 2014</w:t>
      </w:r>
      <w:r w:rsidR="00FC2269" w:rsidRPr="00A17208">
        <w:rPr>
          <w:sz w:val="20"/>
          <w:szCs w:val="20"/>
        </w:rPr>
        <w:t>.</w:t>
      </w:r>
    </w:p>
    <w:p w:rsidR="00FC2269" w:rsidRDefault="00FC2269" w:rsidP="00BE5F5A">
      <w:pPr>
        <w:rPr>
          <w:sz w:val="20"/>
          <w:szCs w:val="20"/>
        </w:rPr>
      </w:pPr>
    </w:p>
    <w:p w:rsidR="006F58EB" w:rsidRDefault="006F58EB">
      <w:pPr>
        <w:spacing w:after="200" w:line="276" w:lineRule="auto"/>
        <w:rPr>
          <w:sz w:val="20"/>
          <w:szCs w:val="20"/>
        </w:rPr>
      </w:pPr>
    </w:p>
    <w:p w:rsidR="006F58EB" w:rsidRDefault="006F58EB" w:rsidP="006F58EB">
      <w:pPr>
        <w:spacing w:after="200" w:line="276" w:lineRule="auto"/>
        <w:rPr>
          <w:sz w:val="20"/>
          <w:szCs w:val="20"/>
        </w:rPr>
      </w:pPr>
    </w:p>
    <w:p w:rsidR="006F58EB" w:rsidRPr="0007296B" w:rsidRDefault="006F58EB" w:rsidP="006F58E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N Kim, adapted from UW Neuroradiology Image Guided LP and Myelography Guidelines, Kennedy/</w:t>
      </w:r>
      <w:proofErr w:type="spellStart"/>
      <w:r>
        <w:rPr>
          <w:sz w:val="20"/>
          <w:szCs w:val="20"/>
        </w:rPr>
        <w:t>Grayev</w:t>
      </w:r>
      <w:proofErr w:type="spellEnd"/>
      <w:r>
        <w:rPr>
          <w:sz w:val="20"/>
          <w:szCs w:val="20"/>
        </w:rPr>
        <w:t>/Rowley/Field, 2/2017.</w:t>
      </w:r>
    </w:p>
    <w:p w:rsidR="006F58EB" w:rsidRDefault="00DD720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C2269" w:rsidRDefault="00FC2269" w:rsidP="00FC2269">
      <w:pPr>
        <w:contextualSpacing/>
        <w:jc w:val="right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1"/>
        <w:tblW w:w="10458" w:type="dxa"/>
        <w:tblLook w:val="04A0" w:firstRow="1" w:lastRow="0" w:firstColumn="1" w:lastColumn="0" w:noHBand="0" w:noVBand="1"/>
      </w:tblPr>
      <w:tblGrid>
        <w:gridCol w:w="2154"/>
        <w:gridCol w:w="2567"/>
        <w:gridCol w:w="2400"/>
        <w:gridCol w:w="3337"/>
      </w:tblGrid>
      <w:tr w:rsidR="00FC2269" w:rsidTr="001E518C">
        <w:tc>
          <w:tcPr>
            <w:tcW w:w="10458" w:type="dxa"/>
            <w:gridSpan w:val="4"/>
            <w:tcBorders>
              <w:bottom w:val="single" w:sz="12" w:space="0" w:color="000000"/>
            </w:tcBorders>
          </w:tcPr>
          <w:p w:rsidR="00FC2269" w:rsidRDefault="00FC2269" w:rsidP="001E518C">
            <w:pPr>
              <w:contextualSpacing/>
              <w:jc w:val="center"/>
            </w:pPr>
            <w:r>
              <w:rPr>
                <w:sz w:val="32"/>
                <w:szCs w:val="32"/>
              </w:rPr>
              <w:t xml:space="preserve">Critical Laboratory </w:t>
            </w:r>
            <w:r w:rsidRPr="00624F5E">
              <w:rPr>
                <w:sz w:val="32"/>
                <w:szCs w:val="32"/>
              </w:rPr>
              <w:t>Values for Lumbar Puncture</w:t>
            </w:r>
            <w:r>
              <w:rPr>
                <w:sz w:val="32"/>
                <w:szCs w:val="32"/>
              </w:rPr>
              <w:t>/Myelography</w:t>
            </w:r>
          </w:p>
        </w:tc>
      </w:tr>
      <w:tr w:rsidR="00FC2269" w:rsidTr="001E518C">
        <w:tc>
          <w:tcPr>
            <w:tcW w:w="2154" w:type="dxa"/>
            <w:tcBorders>
              <w:top w:val="single" w:sz="12" w:space="0" w:color="000000"/>
            </w:tcBorders>
          </w:tcPr>
          <w:p w:rsidR="00FC2269" w:rsidRPr="00980BB3" w:rsidRDefault="00FC2269" w:rsidP="001E518C">
            <w:pPr>
              <w:contextualSpacing/>
              <w:jc w:val="center"/>
              <w:rPr>
                <w:b/>
              </w:rPr>
            </w:pPr>
            <w:r w:rsidRPr="00980BB3">
              <w:rPr>
                <w:b/>
              </w:rPr>
              <w:t>Lab Test</w:t>
            </w:r>
          </w:p>
        </w:tc>
        <w:tc>
          <w:tcPr>
            <w:tcW w:w="2567" w:type="dxa"/>
            <w:tcBorders>
              <w:top w:val="single" w:sz="12" w:space="0" w:color="000000"/>
            </w:tcBorders>
          </w:tcPr>
          <w:p w:rsidR="00FC2269" w:rsidRDefault="00FC2269" w:rsidP="001E518C">
            <w:pPr>
              <w:contextualSpacing/>
              <w:jc w:val="center"/>
            </w:pPr>
            <w:r>
              <w:t>PLT</w:t>
            </w:r>
          </w:p>
        </w:tc>
        <w:tc>
          <w:tcPr>
            <w:tcW w:w="2400" w:type="dxa"/>
            <w:tcBorders>
              <w:top w:val="single" w:sz="12" w:space="0" w:color="000000"/>
            </w:tcBorders>
          </w:tcPr>
          <w:p w:rsidR="00FC2269" w:rsidRDefault="00FC2269" w:rsidP="001E518C">
            <w:pPr>
              <w:contextualSpacing/>
              <w:jc w:val="center"/>
            </w:pPr>
            <w:r>
              <w:t>INR</w:t>
            </w:r>
          </w:p>
        </w:tc>
        <w:tc>
          <w:tcPr>
            <w:tcW w:w="3337" w:type="dxa"/>
            <w:tcBorders>
              <w:top w:val="single" w:sz="12" w:space="0" w:color="000000"/>
            </w:tcBorders>
          </w:tcPr>
          <w:p w:rsidR="00FC2269" w:rsidRDefault="00FC2269" w:rsidP="001E518C">
            <w:pPr>
              <w:contextualSpacing/>
              <w:jc w:val="center"/>
            </w:pPr>
            <w:r>
              <w:t>PTT</w:t>
            </w:r>
          </w:p>
        </w:tc>
      </w:tr>
      <w:tr w:rsidR="00FC2269" w:rsidTr="001E518C">
        <w:tc>
          <w:tcPr>
            <w:tcW w:w="2154" w:type="dxa"/>
          </w:tcPr>
          <w:p w:rsidR="00FC2269" w:rsidRPr="00980BB3" w:rsidRDefault="00FC2269" w:rsidP="001E518C">
            <w:pPr>
              <w:contextualSpacing/>
              <w:jc w:val="center"/>
              <w:rPr>
                <w:b/>
              </w:rPr>
            </w:pPr>
            <w:r w:rsidRPr="00980BB3">
              <w:rPr>
                <w:b/>
              </w:rPr>
              <w:t>Lab Value</w:t>
            </w:r>
          </w:p>
        </w:tc>
        <w:tc>
          <w:tcPr>
            <w:tcW w:w="2567" w:type="dxa"/>
          </w:tcPr>
          <w:p w:rsidR="00FC2269" w:rsidRDefault="00FC2269" w:rsidP="001E518C">
            <w:pPr>
              <w:contextualSpacing/>
              <w:jc w:val="center"/>
            </w:pPr>
            <w:r>
              <w:t>&gt;25,000</w:t>
            </w:r>
          </w:p>
        </w:tc>
        <w:tc>
          <w:tcPr>
            <w:tcW w:w="2400" w:type="dxa"/>
          </w:tcPr>
          <w:p w:rsidR="00FC2269" w:rsidRDefault="00FC2269" w:rsidP="001E518C">
            <w:pPr>
              <w:contextualSpacing/>
              <w:jc w:val="center"/>
            </w:pPr>
            <w:r>
              <w:t>&lt;1.5</w:t>
            </w:r>
          </w:p>
        </w:tc>
        <w:tc>
          <w:tcPr>
            <w:tcW w:w="3337" w:type="dxa"/>
          </w:tcPr>
          <w:p w:rsidR="00FC2269" w:rsidRDefault="00FC2269" w:rsidP="001E518C">
            <w:pPr>
              <w:contextualSpacing/>
              <w:jc w:val="center"/>
            </w:pPr>
            <w:r>
              <w:t>Within normal range</w:t>
            </w:r>
          </w:p>
        </w:tc>
      </w:tr>
      <w:tr w:rsidR="00FC2269" w:rsidTr="001E518C">
        <w:tc>
          <w:tcPr>
            <w:tcW w:w="10458" w:type="dxa"/>
            <w:gridSpan w:val="4"/>
          </w:tcPr>
          <w:p w:rsidR="00FC2269" w:rsidRPr="000C781F" w:rsidRDefault="00FC2269" w:rsidP="001E518C">
            <w:pPr>
              <w:contextualSpacing/>
              <w:rPr>
                <w:b/>
              </w:rPr>
            </w:pPr>
            <w:r w:rsidRPr="000C781F">
              <w:rPr>
                <w:b/>
              </w:rPr>
              <w:t>When to check labs?</w:t>
            </w:r>
          </w:p>
          <w:p w:rsidR="00FC2269" w:rsidRPr="000C781F" w:rsidRDefault="00FC2269" w:rsidP="001E518C">
            <w:pPr>
              <w:contextualSpacing/>
              <w:rPr>
                <w:b/>
              </w:rPr>
            </w:pPr>
            <w:r>
              <w:rPr>
                <w:b/>
              </w:rPr>
              <w:t xml:space="preserve">    </w:t>
            </w:r>
            <w:r w:rsidRPr="000C781F">
              <w:rPr>
                <w:b/>
              </w:rPr>
              <w:t>Inpatients</w:t>
            </w:r>
            <w:r>
              <w:rPr>
                <w:b/>
              </w:rPr>
              <w:t>/ER:</w:t>
            </w:r>
            <w:r w:rsidRPr="000C781F">
              <w:rPr>
                <w:b/>
              </w:rPr>
              <w:t xml:space="preserve"> </w:t>
            </w:r>
            <w:r w:rsidRPr="006B523F">
              <w:t>Check INR, PLT, PTT within 1 week of LP</w:t>
            </w:r>
            <w:r>
              <w:t xml:space="preserve"> </w:t>
            </w:r>
            <w:r w:rsidRPr="00AB5044">
              <w:rPr>
                <w:b/>
              </w:rPr>
              <w:t xml:space="preserve">(or within 24 hours if on chemo with low </w:t>
            </w:r>
            <w:proofErr w:type="spellStart"/>
            <w:r w:rsidRPr="00AB5044">
              <w:rPr>
                <w:b/>
              </w:rPr>
              <w:t>plts</w:t>
            </w:r>
            <w:proofErr w:type="spellEnd"/>
            <w:r w:rsidRPr="00AB5044">
              <w:rPr>
                <w:b/>
              </w:rPr>
              <w:t>)</w:t>
            </w:r>
          </w:p>
          <w:p w:rsidR="00FC2269" w:rsidRDefault="00FC2269" w:rsidP="001E518C">
            <w:pPr>
              <w:contextualSpacing/>
            </w:pPr>
            <w:r w:rsidRPr="000C781F">
              <w:rPr>
                <w:b/>
              </w:rPr>
              <w:t xml:space="preserve">       Outpatients:</w:t>
            </w:r>
            <w:r>
              <w:t xml:space="preserve"> If patient has a history of cancer, bleeding disorder or liver disease, follow guidelines for </w:t>
            </w:r>
          </w:p>
          <w:p w:rsidR="00FC2269" w:rsidRDefault="00FC2269" w:rsidP="001E518C">
            <w:pPr>
              <w:contextualSpacing/>
            </w:pPr>
            <w:r>
              <w:t xml:space="preserve">                                    inpatients/ER patients</w:t>
            </w:r>
          </w:p>
          <w:p w:rsidR="00FC2269" w:rsidRDefault="00FC2269" w:rsidP="001E518C">
            <w:pPr>
              <w:contextualSpacing/>
            </w:pPr>
            <w:r>
              <w:t xml:space="preserve">                             If patient is on Coumadin, see below for specific recommendations. </w:t>
            </w:r>
          </w:p>
          <w:p w:rsidR="00FC2269" w:rsidRDefault="00FC2269" w:rsidP="001E518C">
            <w:pPr>
              <w:contextualSpacing/>
            </w:pPr>
            <w:r>
              <w:t xml:space="preserve">                             Otherwise, outpatients do </w:t>
            </w:r>
            <w:r w:rsidRPr="00F917F9">
              <w:rPr>
                <w:b/>
              </w:rPr>
              <w:t>not</w:t>
            </w:r>
            <w:r>
              <w:t xml:space="preserve"> need labs.</w:t>
            </w:r>
          </w:p>
        </w:tc>
      </w:tr>
      <w:tr w:rsidR="00FC2269" w:rsidTr="001E518C">
        <w:tc>
          <w:tcPr>
            <w:tcW w:w="10458" w:type="dxa"/>
            <w:gridSpan w:val="4"/>
          </w:tcPr>
          <w:p w:rsidR="00FC2269" w:rsidRDefault="00FC2269" w:rsidP="001E518C">
            <w:pPr>
              <w:contextualSpacing/>
            </w:pPr>
            <w:r>
              <w:t>Pregnancy: Women of child bearing age should confirm negative pregnancy status</w:t>
            </w:r>
          </w:p>
        </w:tc>
      </w:tr>
    </w:tbl>
    <w:p w:rsidR="00FC2269" w:rsidRDefault="00FC2269" w:rsidP="00FC2269">
      <w:pPr>
        <w:contextualSpacing/>
      </w:pPr>
    </w:p>
    <w:p w:rsidR="00FC2269" w:rsidRDefault="00FC2269" w:rsidP="00FC2269">
      <w:pPr>
        <w:contextualSpacing/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192"/>
        <w:gridCol w:w="3192"/>
        <w:gridCol w:w="4074"/>
      </w:tblGrid>
      <w:tr w:rsidR="00FC2269" w:rsidTr="001E518C">
        <w:tc>
          <w:tcPr>
            <w:tcW w:w="10458" w:type="dxa"/>
            <w:gridSpan w:val="3"/>
            <w:tcBorders>
              <w:bottom w:val="single" w:sz="12" w:space="0" w:color="000000"/>
            </w:tcBorders>
          </w:tcPr>
          <w:p w:rsidR="00FC2269" w:rsidRPr="006E5740" w:rsidRDefault="00FC2269" w:rsidP="001E518C">
            <w:pPr>
              <w:contextualSpacing/>
              <w:jc w:val="center"/>
              <w:rPr>
                <w:sz w:val="32"/>
                <w:szCs w:val="32"/>
              </w:rPr>
            </w:pPr>
            <w:r w:rsidRPr="006E5740">
              <w:rPr>
                <w:sz w:val="32"/>
                <w:szCs w:val="32"/>
              </w:rPr>
              <w:t>Medication Guidelines for LP/Myelograms</w:t>
            </w:r>
          </w:p>
        </w:tc>
      </w:tr>
      <w:tr w:rsidR="00FC2269" w:rsidTr="001E518C">
        <w:tc>
          <w:tcPr>
            <w:tcW w:w="3192" w:type="dxa"/>
            <w:tcBorders>
              <w:bottom w:val="single" w:sz="4" w:space="0" w:color="000000"/>
            </w:tcBorders>
          </w:tcPr>
          <w:p w:rsidR="00FC2269" w:rsidRPr="00F917F9" w:rsidRDefault="00FC2269" w:rsidP="001E518C">
            <w:pPr>
              <w:contextualSpacing/>
              <w:rPr>
                <w:b/>
              </w:rPr>
            </w:pPr>
            <w:r w:rsidRPr="00F917F9">
              <w:rPr>
                <w:b/>
              </w:rPr>
              <w:t>Medication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FC2269" w:rsidRPr="00F917F9" w:rsidRDefault="00FC2269" w:rsidP="001E518C">
            <w:pPr>
              <w:contextualSpacing/>
              <w:rPr>
                <w:b/>
              </w:rPr>
            </w:pPr>
            <w:r w:rsidRPr="00F917F9">
              <w:rPr>
                <w:b/>
              </w:rPr>
              <w:t>Recommendation</w:t>
            </w:r>
          </w:p>
        </w:tc>
        <w:tc>
          <w:tcPr>
            <w:tcW w:w="4074" w:type="dxa"/>
            <w:tcBorders>
              <w:bottom w:val="single" w:sz="4" w:space="0" w:color="000000"/>
            </w:tcBorders>
          </w:tcPr>
          <w:p w:rsidR="00FC2269" w:rsidRPr="00F917F9" w:rsidRDefault="00FC2269" w:rsidP="001E518C">
            <w:pPr>
              <w:contextualSpacing/>
              <w:rPr>
                <w:b/>
              </w:rPr>
            </w:pPr>
            <w:r w:rsidRPr="00F917F9">
              <w:rPr>
                <w:b/>
              </w:rPr>
              <w:t>Comments</w:t>
            </w:r>
          </w:p>
        </w:tc>
      </w:tr>
      <w:tr w:rsidR="00FC2269" w:rsidTr="001E518C">
        <w:tc>
          <w:tcPr>
            <w:tcW w:w="3192" w:type="dxa"/>
            <w:tcBorders>
              <w:top w:val="single" w:sz="4" w:space="0" w:color="000000"/>
            </w:tcBorders>
          </w:tcPr>
          <w:p w:rsidR="00FC2269" w:rsidRDefault="00FC2269" w:rsidP="001E518C">
            <w:pPr>
              <w:contextualSpacing/>
            </w:pPr>
            <w:r>
              <w:t>Plavix, Ticlid, other antiplatelet meds</w:t>
            </w:r>
          </w:p>
        </w:tc>
        <w:tc>
          <w:tcPr>
            <w:tcW w:w="3192" w:type="dxa"/>
            <w:tcBorders>
              <w:top w:val="single" w:sz="4" w:space="0" w:color="000000"/>
            </w:tcBorders>
          </w:tcPr>
          <w:p w:rsidR="00FC2269" w:rsidRDefault="00FC2269" w:rsidP="001E518C">
            <w:pPr>
              <w:contextualSpacing/>
            </w:pPr>
            <w:r>
              <w:t>Stop 5 days prior to procedure</w:t>
            </w:r>
          </w:p>
        </w:tc>
        <w:tc>
          <w:tcPr>
            <w:tcW w:w="4074" w:type="dxa"/>
            <w:tcBorders>
              <w:top w:val="single" w:sz="4" w:space="0" w:color="000000"/>
            </w:tcBorders>
          </w:tcPr>
          <w:p w:rsidR="00FC2269" w:rsidRPr="00802BCB" w:rsidRDefault="00FC2269" w:rsidP="001E518C">
            <w:pPr>
              <w:contextualSpacing/>
            </w:pPr>
            <w:r w:rsidRPr="00C47D5C">
              <w:rPr>
                <w:b/>
                <w:color w:val="FF0000"/>
              </w:rPr>
              <w:t>MUST</w:t>
            </w:r>
            <w:r>
              <w:t xml:space="preserve"> be coordinated with referring MD.  Each patient is coordinated individually. </w:t>
            </w:r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Warfarin (Coumadin)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Stop 3 days prior to procedure,  Check INR day of procedure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  <w:r w:rsidRPr="00C47D5C">
              <w:rPr>
                <w:b/>
                <w:color w:val="FF0000"/>
              </w:rPr>
              <w:t>MUST</w:t>
            </w:r>
            <w:r>
              <w:t xml:space="preserve"> be coordinated with referring MD.  May need to be bridged with heparin. Each patient is coordinated individually.</w:t>
            </w:r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Dabigatran (Pradaxa)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 xml:space="preserve">Stop 5 days prior to procedure  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  <w:r w:rsidRPr="00C47D5C">
              <w:rPr>
                <w:b/>
                <w:color w:val="FF0000"/>
              </w:rPr>
              <w:t>MUST</w:t>
            </w:r>
            <w:r>
              <w:t xml:space="preserve"> be coordinated with referring MD. INR not sensitive; dependent on </w:t>
            </w:r>
            <w:proofErr w:type="spellStart"/>
            <w:r>
              <w:t>CrCl</w:t>
            </w:r>
            <w:proofErr w:type="spellEnd"/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proofErr w:type="spellStart"/>
            <w:r>
              <w:rPr>
                <w:color w:val="000000"/>
              </w:rPr>
              <w:t>Aprixaban</w:t>
            </w:r>
            <w:proofErr w:type="spellEnd"/>
            <w:r>
              <w:rPr>
                <w:color w:val="000000"/>
              </w:rPr>
              <w:t xml:space="preserve"> (Eliquis)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Stop 48 hours prior to procedure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  <w:r w:rsidRPr="00C47D5C">
              <w:rPr>
                <w:b/>
                <w:color w:val="FF0000"/>
              </w:rPr>
              <w:t>MUST</w:t>
            </w:r>
            <w:r>
              <w:t xml:space="preserve"> be coordinated with referring MD</w:t>
            </w:r>
          </w:p>
          <w:p w:rsidR="00FC2269" w:rsidRDefault="00FC2269" w:rsidP="001E518C">
            <w:pPr>
              <w:contextualSpacing/>
            </w:pPr>
            <w:r>
              <w:t>Restart 5 hours after procedure</w:t>
            </w:r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rPr>
                <w:color w:val="000000"/>
              </w:rPr>
              <w:t xml:space="preserve">Rivaroxaban, Edoxaban,  Fondaparinux, Cilostazol, </w:t>
            </w:r>
            <w:proofErr w:type="spellStart"/>
            <w:r>
              <w:rPr>
                <w:color w:val="000000"/>
              </w:rPr>
              <w:t>Bivalrudin</w:t>
            </w:r>
            <w:proofErr w:type="spellEnd"/>
            <w:r>
              <w:rPr>
                <w:color w:val="000000"/>
              </w:rPr>
              <w:t xml:space="preserve">, Argatroban, Abciximab, Eptifibatide, </w:t>
            </w:r>
            <w:proofErr w:type="spellStart"/>
            <w:r>
              <w:rPr>
                <w:color w:val="000000"/>
              </w:rPr>
              <w:t>Tirofibran</w:t>
            </w:r>
            <w:proofErr w:type="spellEnd"/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  <w:r w:rsidRPr="007547EA">
              <w:rPr>
                <w:b/>
                <w:color w:val="FF0000"/>
              </w:rPr>
              <w:t>MUST</w:t>
            </w:r>
            <w:r>
              <w:t xml:space="preserve"> be coordinated with referring MD. </w:t>
            </w:r>
          </w:p>
          <w:p w:rsidR="00FC2269" w:rsidRDefault="00FC2269" w:rsidP="001E518C">
            <w:pPr>
              <w:contextualSpacing/>
            </w:pPr>
            <w:r>
              <w:t>Each patient/medication coordinated individually.</w:t>
            </w:r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IV Heparin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Stop 6 hours prior to procedure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  <w:r>
              <w:t>Restart 1 hour after procedure</w:t>
            </w:r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Low Molecular Weight Heparin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Stop 12 hours prior to procedure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  <w:r>
              <w:t>Restart 24 hours after procedure</w:t>
            </w:r>
          </w:p>
        </w:tc>
      </w:tr>
      <w:tr w:rsidR="00FC2269" w:rsidTr="001E518C">
        <w:tc>
          <w:tcPr>
            <w:tcW w:w="3192" w:type="dxa"/>
          </w:tcPr>
          <w:p w:rsidR="00FC2269" w:rsidRPr="003F2EB5" w:rsidRDefault="00FC2269" w:rsidP="001E518C">
            <w:pPr>
              <w:contextualSpacing/>
            </w:pPr>
            <w:r>
              <w:t>SQ Heparin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 xml:space="preserve">May continue if dose &lt;10,000 </w:t>
            </w:r>
            <w:proofErr w:type="spellStart"/>
            <w:r>
              <w:t>u.</w:t>
            </w:r>
            <w:proofErr w:type="spellEnd"/>
            <w:r>
              <w:t xml:space="preserve">  If dose is &gt; 10 K, follow IV Heparin Guidelines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</w:p>
        </w:tc>
      </w:tr>
      <w:tr w:rsidR="00FC2269" w:rsidTr="001E518C">
        <w:tc>
          <w:tcPr>
            <w:tcW w:w="3192" w:type="dxa"/>
          </w:tcPr>
          <w:p w:rsidR="00FC2269" w:rsidRDefault="00FC2269" w:rsidP="001E518C">
            <w:pPr>
              <w:contextualSpacing/>
            </w:pPr>
            <w:r w:rsidRPr="003F2EB5">
              <w:t>ASA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May continue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</w:p>
        </w:tc>
      </w:tr>
      <w:tr w:rsidR="00FC2269" w:rsidTr="001E518C">
        <w:tc>
          <w:tcPr>
            <w:tcW w:w="3192" w:type="dxa"/>
          </w:tcPr>
          <w:p w:rsidR="00FC2269" w:rsidRPr="003F2EB5" w:rsidRDefault="00FC2269" w:rsidP="001E518C">
            <w:pPr>
              <w:contextualSpacing/>
            </w:pPr>
            <w:r>
              <w:t>NSAIDS</w:t>
            </w:r>
          </w:p>
        </w:tc>
        <w:tc>
          <w:tcPr>
            <w:tcW w:w="3192" w:type="dxa"/>
          </w:tcPr>
          <w:p w:rsidR="00FC2269" w:rsidRDefault="00FC2269" w:rsidP="001E518C">
            <w:pPr>
              <w:contextualSpacing/>
            </w:pPr>
            <w:r>
              <w:t>May continue</w:t>
            </w:r>
          </w:p>
        </w:tc>
        <w:tc>
          <w:tcPr>
            <w:tcW w:w="4074" w:type="dxa"/>
          </w:tcPr>
          <w:p w:rsidR="00FC2269" w:rsidRDefault="00FC2269" w:rsidP="001E518C">
            <w:pPr>
              <w:contextualSpacing/>
            </w:pPr>
          </w:p>
        </w:tc>
      </w:tr>
    </w:tbl>
    <w:p w:rsidR="00FC2269" w:rsidRDefault="00FC2269" w:rsidP="00FC2269">
      <w:pPr>
        <w:pStyle w:val="CommentText"/>
        <w:contextualSpacing/>
        <w:rPr>
          <w:sz w:val="16"/>
          <w:szCs w:val="16"/>
        </w:rPr>
      </w:pPr>
      <w:proofErr w:type="gramStart"/>
      <w:r w:rsidRPr="00DF4542">
        <w:rPr>
          <w:rFonts w:eastAsia="Calibri"/>
          <w:bCs/>
          <w:sz w:val="16"/>
          <w:szCs w:val="16"/>
        </w:rPr>
        <w:t>Spinal Procedures.</w:t>
      </w:r>
      <w:proofErr w:type="gramEnd"/>
      <w:r w:rsidRPr="00DF4542">
        <w:rPr>
          <w:rFonts w:eastAsia="Calibri"/>
          <w:bCs/>
          <w:sz w:val="16"/>
          <w:szCs w:val="16"/>
        </w:rPr>
        <w:t xml:space="preserve"> </w:t>
      </w:r>
      <w:r w:rsidRPr="00DF4542">
        <w:rPr>
          <w:rFonts w:eastAsia="Calibri"/>
          <w:sz w:val="16"/>
          <w:szCs w:val="16"/>
        </w:rPr>
        <w:t>AJNR Mar 2006 27:467–71</w:t>
      </w:r>
      <w:r>
        <w:rPr>
          <w:sz w:val="16"/>
          <w:szCs w:val="16"/>
        </w:rPr>
        <w:t xml:space="preserve">; </w:t>
      </w:r>
      <w:r w:rsidRPr="00DF4542">
        <w:rPr>
          <w:sz w:val="16"/>
          <w:szCs w:val="16"/>
        </w:rPr>
        <w:t>ACR – ASNR – SPR Practice Guideline for the Performance of Myelography and Cisternography 2013</w:t>
      </w:r>
    </w:p>
    <w:p w:rsidR="00FC2269" w:rsidRDefault="00FC2269" w:rsidP="00FC2269">
      <w:pPr>
        <w:pStyle w:val="CommentText"/>
        <w:contextualSpacing/>
        <w:rPr>
          <w:sz w:val="16"/>
          <w:szCs w:val="16"/>
        </w:rPr>
      </w:pPr>
    </w:p>
    <w:p w:rsidR="00FC2269" w:rsidRPr="00DF4542" w:rsidRDefault="00FC2269" w:rsidP="00FC2269">
      <w:pPr>
        <w:pStyle w:val="CommentText"/>
        <w:contextualSpacing/>
        <w:rPr>
          <w:sz w:val="16"/>
          <w:szCs w:val="16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FC2269" w:rsidRPr="006D0116" w:rsidTr="001E518C">
        <w:tc>
          <w:tcPr>
            <w:tcW w:w="10458" w:type="dxa"/>
            <w:tcBorders>
              <w:bottom w:val="single" w:sz="12" w:space="0" w:color="000000"/>
            </w:tcBorders>
          </w:tcPr>
          <w:p w:rsidR="00FC2269" w:rsidRPr="006D0116" w:rsidRDefault="00FC2269" w:rsidP="001E518C">
            <w:pPr>
              <w:contextualSpacing/>
              <w:jc w:val="center"/>
              <w:rPr>
                <w:sz w:val="32"/>
                <w:szCs w:val="32"/>
              </w:rPr>
            </w:pPr>
            <w:r w:rsidRPr="006D0116">
              <w:rPr>
                <w:sz w:val="32"/>
                <w:szCs w:val="32"/>
              </w:rPr>
              <w:t>Guidelines for Head CT/MR prior to LP</w:t>
            </w:r>
            <w:r>
              <w:rPr>
                <w:sz w:val="32"/>
                <w:szCs w:val="32"/>
              </w:rPr>
              <w:t xml:space="preserve"> </w:t>
            </w:r>
            <w:r w:rsidRPr="002C0A89">
              <w:rPr>
                <w:sz w:val="32"/>
                <w:szCs w:val="32"/>
                <w:vertAlign w:val="superscript"/>
              </w:rPr>
              <w:t>5</w:t>
            </w:r>
          </w:p>
        </w:tc>
      </w:tr>
      <w:tr w:rsidR="00FC2269" w:rsidTr="001E518C">
        <w:tc>
          <w:tcPr>
            <w:tcW w:w="10458" w:type="dxa"/>
            <w:tcBorders>
              <w:top w:val="single" w:sz="12" w:space="0" w:color="000000"/>
            </w:tcBorders>
          </w:tcPr>
          <w:p w:rsidR="00FC2269" w:rsidRDefault="00FC2269" w:rsidP="001E518C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Recommend Head CT in patients with signs/symptoms of increased intracranial pressure: </w:t>
            </w:r>
          </w:p>
          <w:p w:rsidR="00FC2269" w:rsidRDefault="00FC2269" w:rsidP="00FC2269">
            <w:pPr>
              <w:pStyle w:val="ListParagraph"/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6D0116">
              <w:rPr>
                <w:rFonts w:eastAsia="Calibri"/>
              </w:rPr>
              <w:t>ew onset seizure</w:t>
            </w:r>
          </w:p>
          <w:p w:rsidR="00FC2269" w:rsidRDefault="00FC2269" w:rsidP="00FC2269">
            <w:pPr>
              <w:pStyle w:val="ListParagraph"/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Papilledema</w:t>
            </w:r>
          </w:p>
          <w:p w:rsidR="00FC2269" w:rsidRDefault="00FC2269" w:rsidP="00FC2269">
            <w:pPr>
              <w:pStyle w:val="ListParagraph"/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Focal neurologic findings</w:t>
            </w:r>
          </w:p>
          <w:p w:rsidR="00FC2269" w:rsidRPr="0035797A" w:rsidRDefault="00FC2269" w:rsidP="00FC2269">
            <w:pPr>
              <w:pStyle w:val="ListParagraph"/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Altered mental status</w:t>
            </w:r>
          </w:p>
        </w:tc>
      </w:tr>
    </w:tbl>
    <w:p w:rsidR="00FC2269" w:rsidRDefault="00FC2269" w:rsidP="00FC2269">
      <w:pPr>
        <w:contextualSpacing/>
        <w:rPr>
          <w:rFonts w:eastAsia="Calibri"/>
          <w:sz w:val="16"/>
          <w:szCs w:val="16"/>
        </w:rPr>
      </w:pPr>
      <w:r w:rsidRPr="00A2218A">
        <w:rPr>
          <w:rFonts w:eastAsia="Calibri"/>
          <w:sz w:val="16"/>
          <w:szCs w:val="16"/>
        </w:rPr>
        <w:t xml:space="preserve">American College of Physicians: Practice Guidelines Lumbar Puncture.  </w:t>
      </w:r>
      <w:proofErr w:type="gramStart"/>
      <w:r w:rsidRPr="00A2218A">
        <w:rPr>
          <w:rFonts w:eastAsia="Calibri"/>
          <w:sz w:val="16"/>
          <w:szCs w:val="16"/>
        </w:rPr>
        <w:t>Physician Information and Education Resource.</w:t>
      </w:r>
      <w:proofErr w:type="gramEnd"/>
      <w:r w:rsidRPr="00A2218A">
        <w:rPr>
          <w:rFonts w:eastAsia="Calibri"/>
          <w:sz w:val="16"/>
          <w:szCs w:val="16"/>
        </w:rPr>
        <w:t xml:space="preserve"> 2010.</w:t>
      </w:r>
    </w:p>
    <w:p w:rsidR="00FC2269" w:rsidRPr="00A2218A" w:rsidRDefault="00FC2269" w:rsidP="00FC2269">
      <w:pPr>
        <w:contextualSpacing/>
        <w:rPr>
          <w:sz w:val="16"/>
          <w:szCs w:val="16"/>
        </w:rPr>
      </w:pPr>
      <w:bookmarkStart w:id="0" w:name="_GoBack"/>
      <w:bookmarkEnd w:id="0"/>
    </w:p>
    <w:sectPr w:rsidR="00FC2269" w:rsidRPr="00A2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57Condensed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57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CA"/>
    <w:multiLevelType w:val="hybridMultilevel"/>
    <w:tmpl w:val="B2867552"/>
    <w:lvl w:ilvl="0" w:tplc="38986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2FFC"/>
    <w:multiLevelType w:val="hybridMultilevel"/>
    <w:tmpl w:val="191E0C56"/>
    <w:lvl w:ilvl="0" w:tplc="0C2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229AA"/>
    <w:multiLevelType w:val="hybridMultilevel"/>
    <w:tmpl w:val="4EF8D70E"/>
    <w:lvl w:ilvl="0" w:tplc="0C2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6CF7"/>
    <w:multiLevelType w:val="hybridMultilevel"/>
    <w:tmpl w:val="06F09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1044"/>
    <w:multiLevelType w:val="hybridMultilevel"/>
    <w:tmpl w:val="578AB39A"/>
    <w:lvl w:ilvl="0" w:tplc="0C2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27F8C"/>
    <w:multiLevelType w:val="hybridMultilevel"/>
    <w:tmpl w:val="62F6D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948AA"/>
    <w:multiLevelType w:val="hybridMultilevel"/>
    <w:tmpl w:val="D034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15A80"/>
    <w:multiLevelType w:val="hybridMultilevel"/>
    <w:tmpl w:val="477CECD6"/>
    <w:lvl w:ilvl="0" w:tplc="CF72CA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B0A5B"/>
    <w:multiLevelType w:val="hybridMultilevel"/>
    <w:tmpl w:val="8D26702E"/>
    <w:lvl w:ilvl="0" w:tplc="0C2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7880A2">
      <w:start w:val="1"/>
      <w:numFmt w:val="lowerLetter"/>
      <w:lvlText w:val="%2."/>
      <w:lvlJc w:val="left"/>
      <w:pPr>
        <w:ind w:left="162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16A01"/>
    <w:multiLevelType w:val="hybridMultilevel"/>
    <w:tmpl w:val="191E0C56"/>
    <w:lvl w:ilvl="0" w:tplc="0C2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5A"/>
    <w:rsid w:val="0007296B"/>
    <w:rsid w:val="000E0E7E"/>
    <w:rsid w:val="00103832"/>
    <w:rsid w:val="003432D7"/>
    <w:rsid w:val="003B60EF"/>
    <w:rsid w:val="00404F03"/>
    <w:rsid w:val="006F58EB"/>
    <w:rsid w:val="00A17208"/>
    <w:rsid w:val="00BE5F5A"/>
    <w:rsid w:val="00D536E2"/>
    <w:rsid w:val="00DC2EA0"/>
    <w:rsid w:val="00DD7206"/>
    <w:rsid w:val="00FB0EE9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5A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5A"/>
    <w:pPr>
      <w:ind w:left="720"/>
      <w:contextualSpacing/>
    </w:pPr>
  </w:style>
  <w:style w:type="table" w:styleId="TableGrid">
    <w:name w:val="Table Grid"/>
    <w:basedOn w:val="TableNormal"/>
    <w:uiPriority w:val="99"/>
    <w:rsid w:val="00FC226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6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5A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5A"/>
    <w:pPr>
      <w:ind w:left="720"/>
      <w:contextualSpacing/>
    </w:pPr>
  </w:style>
  <w:style w:type="table" w:styleId="TableGrid">
    <w:name w:val="Table Grid"/>
    <w:basedOn w:val="TableNormal"/>
    <w:uiPriority w:val="99"/>
    <w:rsid w:val="00FC226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6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Newrhee</dc:creator>
  <cp:lastModifiedBy>Kim Newrhee</cp:lastModifiedBy>
  <cp:revision>3</cp:revision>
  <dcterms:created xsi:type="dcterms:W3CDTF">2017-02-07T20:02:00Z</dcterms:created>
  <dcterms:modified xsi:type="dcterms:W3CDTF">2017-02-07T20:03:00Z</dcterms:modified>
</cp:coreProperties>
</file>